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tabs>
          <w:tab w:val="left" w:leader="none" w:pos="720"/>
          <w:tab w:val="left" w:leader="none" w:pos="1440"/>
          <w:tab w:val="left" w:leader="none" w:pos="2160"/>
        </w:tabs>
        <w:spacing w:before="240" w:line="240" w:lineRule="auto"/>
        <w:ind w:left="720" w:firstLine="0"/>
        <w:jc w:val="center"/>
        <w:rPr>
          <w:b w:val="1"/>
          <w:sz w:val="28"/>
          <w:szCs w:val="28"/>
        </w:rPr>
      </w:pPr>
      <w:r w:rsidDel="00000000" w:rsidR="00000000" w:rsidRPr="00000000">
        <w:rPr>
          <w:b w:val="1"/>
          <w:sz w:val="28"/>
          <w:szCs w:val="28"/>
          <w:rtl w:val="0"/>
        </w:rPr>
        <w:t xml:space="preserve">DEPARTMENT OF REVENUE</w:t>
      </w:r>
    </w:p>
    <w:p w:rsidR="00000000" w:rsidDel="00000000" w:rsidP="00000000" w:rsidRDefault="00000000" w:rsidRPr="00000000" w14:paraId="00000002">
      <w:pPr>
        <w:tabs>
          <w:tab w:val="left" w:leader="none" w:pos="720"/>
          <w:tab w:val="left" w:leader="none" w:pos="1440"/>
          <w:tab w:val="left" w:leader="none" w:pos="2160"/>
        </w:tabs>
        <w:spacing w:before="240" w:line="240" w:lineRule="auto"/>
        <w:ind w:left="720" w:firstLine="0"/>
        <w:jc w:val="center"/>
        <w:rPr>
          <w:b w:val="1"/>
          <w:sz w:val="24"/>
          <w:szCs w:val="24"/>
        </w:rPr>
      </w:pPr>
      <w:r w:rsidDel="00000000" w:rsidR="00000000" w:rsidRPr="00000000">
        <w:rPr>
          <w:b w:val="1"/>
          <w:sz w:val="28"/>
          <w:szCs w:val="28"/>
          <w:rtl w:val="0"/>
        </w:rPr>
        <w:t xml:space="preserve">Division of Motor Vehicles –Vehicle Services Section</w:t>
      </w:r>
      <w:r w:rsidDel="00000000" w:rsidR="00000000" w:rsidRPr="00000000">
        <w:rPr>
          <w:rtl w:val="0"/>
        </w:rPr>
      </w:r>
    </w:p>
    <w:p w:rsidR="00000000" w:rsidDel="00000000" w:rsidP="00000000" w:rsidRDefault="00000000" w:rsidRPr="00000000" w14:paraId="00000003">
      <w:pPr>
        <w:tabs>
          <w:tab w:val="left" w:leader="none" w:pos="720"/>
          <w:tab w:val="left" w:leader="none" w:pos="1440"/>
          <w:tab w:val="left" w:leader="none" w:pos="2160"/>
        </w:tabs>
        <w:spacing w:before="240" w:line="240" w:lineRule="auto"/>
        <w:ind w:left="720" w:firstLine="0"/>
        <w:jc w:val="center"/>
        <w:rPr>
          <w:b w:val="1"/>
          <w:sz w:val="24"/>
          <w:szCs w:val="24"/>
        </w:rPr>
      </w:pPr>
      <w:r w:rsidDel="00000000" w:rsidR="00000000" w:rsidRPr="00000000">
        <w:rPr>
          <w:b w:val="1"/>
          <w:sz w:val="24"/>
          <w:szCs w:val="24"/>
          <w:rtl w:val="0"/>
        </w:rPr>
        <w:t xml:space="preserve">1 CCR-204-10</w:t>
      </w:r>
    </w:p>
    <w:p w:rsidR="00000000" w:rsidDel="00000000" w:rsidP="00000000" w:rsidRDefault="00000000" w:rsidRPr="00000000" w14:paraId="00000004">
      <w:pPr>
        <w:tabs>
          <w:tab w:val="left" w:leader="none" w:pos="720"/>
          <w:tab w:val="left" w:leader="none" w:pos="1440"/>
          <w:tab w:val="left" w:leader="none" w:pos="2160"/>
        </w:tabs>
        <w:spacing w:before="240" w:line="240" w:lineRule="auto"/>
        <w:ind w:left="720" w:firstLine="0"/>
        <w:jc w:val="center"/>
        <w:rPr>
          <w:b w:val="1"/>
          <w:sz w:val="24"/>
          <w:szCs w:val="24"/>
        </w:rPr>
      </w:pPr>
      <w:r w:rsidDel="00000000" w:rsidR="00000000" w:rsidRPr="00000000">
        <w:rPr>
          <w:b w:val="1"/>
          <w:sz w:val="24"/>
          <w:szCs w:val="24"/>
          <w:rtl w:val="0"/>
        </w:rPr>
        <w:t xml:space="preserve">RULE 7. MOTORIST INSURANCE IDENTIFICATION DATABASE (MIIDB)</w:t>
      </w:r>
    </w:p>
    <w:p w:rsidR="00000000" w:rsidDel="00000000" w:rsidP="00000000" w:rsidRDefault="00000000" w:rsidRPr="00000000" w14:paraId="00000005">
      <w:pPr>
        <w:tabs>
          <w:tab w:val="left" w:leader="none" w:pos="720"/>
          <w:tab w:val="left" w:leader="none" w:pos="1440"/>
          <w:tab w:val="left" w:leader="none" w:pos="2160"/>
          <w:tab w:val="left" w:leader="none" w:pos="0"/>
        </w:tabs>
        <w:spacing w:before="240" w:line="240" w:lineRule="auto"/>
        <w:rPr/>
      </w:pPr>
      <w:r w:rsidDel="00000000" w:rsidR="00000000" w:rsidRPr="00000000">
        <w:rPr>
          <w:b w:val="1"/>
          <w:rtl w:val="0"/>
        </w:rPr>
        <w:t xml:space="preserve">Basis:</w:t>
      </w:r>
      <w:r w:rsidDel="00000000" w:rsidR="00000000" w:rsidRPr="00000000">
        <w:rPr>
          <w:rtl w:val="0"/>
        </w:rPr>
        <w:t xml:space="preserve">  The statutory basis for this rule is Part 6, Article 4 of Title 10, </w:t>
      </w:r>
      <w:r w:rsidDel="00000000" w:rsidR="00000000" w:rsidRPr="00000000">
        <w:rPr>
          <w:color w:val="ff0000"/>
          <w:rtl w:val="0"/>
        </w:rPr>
        <w:t xml:space="preserve">section </w:t>
      </w:r>
      <w:r w:rsidDel="00000000" w:rsidR="00000000" w:rsidRPr="00000000">
        <w:rPr>
          <w:rtl w:val="0"/>
        </w:rPr>
        <w:t xml:space="preserve">42-1-204, C.R.S., and </w:t>
      </w:r>
      <w:r w:rsidDel="00000000" w:rsidR="00000000" w:rsidRPr="00000000">
        <w:rPr>
          <w:strike w:val="1"/>
          <w:color w:val="ff0000"/>
          <w:rtl w:val="0"/>
        </w:rPr>
        <w:t xml:space="preserve">Article 7 of Title 42, C.R.S</w:t>
      </w:r>
      <w:r w:rsidDel="00000000" w:rsidR="00000000" w:rsidRPr="00000000">
        <w:rPr>
          <w:rtl w:val="0"/>
        </w:rPr>
        <w:t xml:space="preserve"> </w:t>
      </w:r>
      <w:r w:rsidDel="00000000" w:rsidR="00000000" w:rsidRPr="00000000">
        <w:rPr>
          <w:color w:val="ff0000"/>
          <w:rtl w:val="0"/>
        </w:rPr>
        <w:t xml:space="preserve">section 42-7-604, C.R.S</w:t>
      </w:r>
      <w:r w:rsidDel="00000000" w:rsidR="00000000" w:rsidRPr="00000000">
        <w:rPr>
          <w:rtl w:val="0"/>
        </w:rPr>
        <w:t xml:space="preserve">.</w:t>
      </w:r>
      <w:r w:rsidDel="00000000" w:rsidR="00000000" w:rsidRPr="00000000">
        <w:rPr>
          <w:rtl w:val="0"/>
        </w:rPr>
        <w:t xml:space="preserve"> </w:t>
      </w:r>
    </w:p>
    <w:p w:rsidR="00000000" w:rsidDel="00000000" w:rsidP="00000000" w:rsidRDefault="00000000" w:rsidRPr="00000000" w14:paraId="00000006">
      <w:pPr>
        <w:tabs>
          <w:tab w:val="left" w:leader="none" w:pos="720"/>
          <w:tab w:val="left" w:leader="none" w:pos="1440"/>
          <w:tab w:val="left" w:leader="none" w:pos="2160"/>
        </w:tabs>
        <w:spacing w:line="240" w:lineRule="auto"/>
        <w:ind w:left="720" w:firstLine="0"/>
        <w:rPr>
          <w:b w:val="1"/>
          <w:highlight w:val="yellow"/>
        </w:rPr>
      </w:pPr>
      <w:r w:rsidDel="00000000" w:rsidR="00000000" w:rsidRPr="00000000">
        <w:rPr>
          <w:rtl w:val="0"/>
        </w:rPr>
      </w:r>
    </w:p>
    <w:p w:rsidR="00000000" w:rsidDel="00000000" w:rsidP="00000000" w:rsidRDefault="00000000" w:rsidRPr="00000000" w14:paraId="00000007">
      <w:pPr>
        <w:tabs>
          <w:tab w:val="left" w:leader="none" w:pos="720"/>
          <w:tab w:val="left" w:leader="none" w:pos="1440"/>
          <w:tab w:val="left" w:leader="none" w:pos="2160"/>
          <w:tab w:val="left" w:leader="none" w:pos="0"/>
        </w:tabs>
        <w:spacing w:line="240" w:lineRule="auto"/>
        <w:rPr/>
      </w:pPr>
      <w:r w:rsidDel="00000000" w:rsidR="00000000" w:rsidRPr="00000000">
        <w:rPr>
          <w:b w:val="1"/>
          <w:rtl w:val="0"/>
        </w:rPr>
        <w:t xml:space="preserve">Purpose:</w:t>
      </w:r>
      <w:r w:rsidDel="00000000" w:rsidR="00000000" w:rsidRPr="00000000">
        <w:rPr>
          <w:rtl w:val="0"/>
        </w:rPr>
        <w:t xml:space="preserve">  The purpose of this rule is to establish reporting requirements for insurers that issue insurance policies under Part 6, Article 4 of Title 10 in order to maintain the Motorist Insurance Identification Database (MIIDB).</w:t>
      </w:r>
    </w:p>
    <w:p w:rsidR="00000000" w:rsidDel="00000000" w:rsidP="00000000" w:rsidRDefault="00000000" w:rsidRPr="00000000" w14:paraId="00000008">
      <w:pPr>
        <w:tabs>
          <w:tab w:val="left" w:leader="none" w:pos="720"/>
          <w:tab w:val="left" w:leader="none" w:pos="1440"/>
          <w:tab w:val="left" w:leader="none" w:pos="2160"/>
        </w:tabs>
        <w:spacing w:line="240" w:lineRule="auto"/>
        <w:ind w:left="720" w:firstLine="0"/>
        <w:rPr/>
      </w:pPr>
      <w:r w:rsidDel="00000000" w:rsidR="00000000" w:rsidRPr="00000000">
        <w:rPr>
          <w:rtl w:val="0"/>
        </w:rPr>
      </w:r>
    </w:p>
    <w:p w:rsidR="00000000" w:rsidDel="00000000" w:rsidP="00000000" w:rsidRDefault="00000000" w:rsidRPr="00000000" w14:paraId="00000009">
      <w:pPr>
        <w:numPr>
          <w:ilvl w:val="0"/>
          <w:numId w:val="5"/>
        </w:numPr>
        <w:tabs>
          <w:tab w:val="left" w:leader="none" w:pos="1440"/>
          <w:tab w:val="left" w:leader="none" w:pos="2160"/>
        </w:tabs>
        <w:spacing w:line="240" w:lineRule="auto"/>
        <w:ind w:left="720" w:hanging="720"/>
        <w:rPr>
          <w:b w:val="0"/>
        </w:rPr>
      </w:pPr>
      <w:r w:rsidDel="00000000" w:rsidR="00000000" w:rsidRPr="00000000">
        <w:rPr>
          <w:b w:val="1"/>
          <w:rtl w:val="0"/>
        </w:rPr>
        <w:t xml:space="preserve"> Definitions</w:t>
      </w:r>
      <w:r w:rsidDel="00000000" w:rsidR="00000000" w:rsidRPr="00000000">
        <w:rPr>
          <w:rtl w:val="0"/>
        </w:rPr>
      </w:r>
    </w:p>
    <w:p w:rsidR="00000000" w:rsidDel="00000000" w:rsidP="00000000" w:rsidRDefault="00000000" w:rsidRPr="00000000" w14:paraId="0000000A">
      <w:pPr>
        <w:tabs>
          <w:tab w:val="left" w:leader="none" w:pos="1440"/>
        </w:tabs>
        <w:spacing w:before="240" w:line="240" w:lineRule="auto"/>
        <w:ind w:left="720" w:hanging="720"/>
        <w:rPr/>
      </w:pPr>
      <w:r w:rsidDel="00000000" w:rsidR="00000000" w:rsidRPr="00000000">
        <w:rPr>
          <w:rtl w:val="0"/>
        </w:rPr>
        <w:t xml:space="preserve">1.1   </w:t>
        <w:tab/>
        <w:t xml:space="preserve">“Designated Agent” means an agent that contracts with the Department as defined in section 42-7-603(3), C.R.S.</w:t>
      </w:r>
    </w:p>
    <w:p w:rsidR="00000000" w:rsidDel="00000000" w:rsidP="00000000" w:rsidRDefault="00000000" w:rsidRPr="00000000" w14:paraId="0000000B">
      <w:pPr>
        <w:tabs>
          <w:tab w:val="left" w:leader="none" w:pos="1440"/>
        </w:tabs>
        <w:spacing w:before="240" w:line="240" w:lineRule="auto"/>
        <w:ind w:left="720" w:hanging="720"/>
        <w:rPr/>
      </w:pPr>
      <w:r w:rsidDel="00000000" w:rsidR="00000000" w:rsidRPr="00000000">
        <w:rPr>
          <w:rtl w:val="0"/>
        </w:rPr>
        <w:t xml:space="preserve">1.2   </w:t>
        <w:tab/>
        <w:t xml:space="preserve">“Secure File Transfer Protocol” (SFTP) means a process for securely exchanging files between the insurer’s system and the Designated Agent’s system.   </w:t>
      </w:r>
    </w:p>
    <w:p w:rsidR="00000000" w:rsidDel="00000000" w:rsidP="00000000" w:rsidRDefault="00000000" w:rsidRPr="00000000" w14:paraId="0000000C">
      <w:pPr>
        <w:tabs>
          <w:tab w:val="left" w:leader="none" w:pos="720"/>
          <w:tab w:val="left" w:leader="none" w:pos="1440"/>
        </w:tabs>
        <w:spacing w:before="240" w:line="240" w:lineRule="auto"/>
        <w:ind w:left="720" w:hanging="720"/>
        <w:rPr/>
      </w:pPr>
      <w:r w:rsidDel="00000000" w:rsidR="00000000" w:rsidRPr="00000000">
        <w:rPr>
          <w:rtl w:val="0"/>
        </w:rPr>
        <w:t xml:space="preserve">1.3   </w:t>
        <w:tab/>
        <w:t xml:space="preserve">“Policy” means an automobile insurance policy as defined in section 10-4-601(10), C.R.S.</w:t>
      </w:r>
    </w:p>
    <w:p w:rsidR="00000000" w:rsidDel="00000000" w:rsidP="00000000" w:rsidRDefault="00000000" w:rsidRPr="00000000" w14:paraId="0000000D">
      <w:pPr>
        <w:tabs>
          <w:tab w:val="left" w:leader="none" w:pos="720"/>
          <w:tab w:val="left" w:leader="none" w:pos="1440"/>
        </w:tabs>
        <w:spacing w:before="240" w:line="240" w:lineRule="auto"/>
        <w:ind w:left="720" w:hanging="720"/>
        <w:rPr>
          <w:b w:val="1"/>
        </w:rPr>
      </w:pPr>
      <w:r w:rsidDel="00000000" w:rsidR="00000000" w:rsidRPr="00000000">
        <w:rPr>
          <w:b w:val="1"/>
          <w:rtl w:val="0"/>
        </w:rPr>
        <w:t xml:space="preserve">2.0   </w:t>
        <w:tab/>
        <w:t xml:space="preserve">Insurer Reporting Requirements</w:t>
      </w:r>
    </w:p>
    <w:p w:rsidR="00000000" w:rsidDel="00000000" w:rsidP="00000000" w:rsidRDefault="00000000" w:rsidRPr="00000000" w14:paraId="0000000E">
      <w:pPr>
        <w:tabs>
          <w:tab w:val="left" w:leader="none" w:pos="720"/>
          <w:tab w:val="left" w:leader="none" w:pos="1440"/>
        </w:tabs>
        <w:spacing w:before="240" w:line="240" w:lineRule="auto"/>
        <w:ind w:left="720" w:hanging="720"/>
        <w:rPr/>
      </w:pPr>
      <w:r w:rsidDel="00000000" w:rsidR="00000000" w:rsidRPr="00000000">
        <w:rPr>
          <w:rtl w:val="0"/>
        </w:rPr>
        <w:t xml:space="preserve">2.1    </w:t>
        <w:tab/>
        <w:t xml:space="preserve">An insurer shall report motor vehicle Policy information required under </w:t>
      </w:r>
      <w:r w:rsidDel="00000000" w:rsidR="00000000" w:rsidRPr="00000000">
        <w:rPr>
          <w:color w:val="ff0000"/>
          <w:rtl w:val="0"/>
        </w:rPr>
        <w:t xml:space="preserve">section </w:t>
      </w:r>
      <w:r w:rsidDel="00000000" w:rsidR="00000000" w:rsidRPr="00000000">
        <w:rPr>
          <w:rtl w:val="0"/>
        </w:rPr>
        <w:t xml:space="preserve">10-4-615(2), C.R.S., to the Department’s Designated Agent as provided by </w:t>
      </w:r>
      <w:r w:rsidDel="00000000" w:rsidR="00000000" w:rsidRPr="00000000">
        <w:rPr>
          <w:color w:val="ff0000"/>
          <w:rtl w:val="0"/>
        </w:rPr>
        <w:t xml:space="preserve">sections </w:t>
      </w:r>
      <w:r w:rsidDel="00000000" w:rsidR="00000000" w:rsidRPr="00000000">
        <w:rPr>
          <w:rtl w:val="0"/>
        </w:rPr>
        <w:t xml:space="preserve">10-4-615(1)(a) and (b) and 10-4-615(3), C.R.S.</w:t>
      </w:r>
    </w:p>
    <w:p w:rsidR="00000000" w:rsidDel="00000000" w:rsidP="00000000" w:rsidRDefault="00000000" w:rsidRPr="00000000" w14:paraId="0000000F">
      <w:pPr>
        <w:tabs>
          <w:tab w:val="left" w:leader="none" w:pos="720"/>
          <w:tab w:val="left" w:leader="none" w:pos="1440"/>
        </w:tabs>
        <w:spacing w:before="240" w:line="240" w:lineRule="auto"/>
        <w:ind w:left="720" w:hanging="720"/>
        <w:rPr>
          <w:color w:val="ff0000"/>
        </w:rPr>
      </w:pPr>
      <w:r w:rsidDel="00000000" w:rsidR="00000000" w:rsidRPr="00000000">
        <w:rPr>
          <w:color w:val="ff0000"/>
          <w:rtl w:val="0"/>
        </w:rPr>
        <w:t xml:space="preserve">2.2 </w:t>
        <w:tab/>
        <w:t xml:space="preserve">Each insurer with any policies in place for the preceding six months shall provide such policy information every week for the immediately preceding week. Such information shall be reported no later than seven working days after the last date of the week reported on.</w:t>
      </w:r>
    </w:p>
    <w:p w:rsidR="00000000" w:rsidDel="00000000" w:rsidP="00000000" w:rsidRDefault="00000000" w:rsidRPr="00000000" w14:paraId="00000010">
      <w:pPr>
        <w:tabs>
          <w:tab w:val="left" w:leader="none" w:pos="720"/>
          <w:tab w:val="left" w:leader="none" w:pos="1440"/>
        </w:tabs>
        <w:spacing w:before="240" w:line="240" w:lineRule="auto"/>
        <w:ind w:left="720" w:hanging="720"/>
        <w:rPr/>
      </w:pPr>
      <w:r w:rsidDel="00000000" w:rsidR="00000000" w:rsidRPr="00000000">
        <w:rPr>
          <w:rtl w:val="0"/>
        </w:rPr>
        <w:t xml:space="preserve">2.</w:t>
      </w:r>
      <w:r w:rsidDel="00000000" w:rsidR="00000000" w:rsidRPr="00000000">
        <w:rPr>
          <w:color w:val="ff0000"/>
          <w:rtl w:val="0"/>
        </w:rPr>
        <w:t xml:space="preserve">3</w:t>
      </w:r>
      <w:r w:rsidDel="00000000" w:rsidR="00000000" w:rsidRPr="00000000">
        <w:rPr>
          <w:strike w:val="1"/>
          <w:color w:val="ff0000"/>
          <w:rtl w:val="0"/>
        </w:rPr>
        <w:t xml:space="preserve">2</w:t>
      </w:r>
      <w:r w:rsidDel="00000000" w:rsidR="00000000" w:rsidRPr="00000000">
        <w:rPr>
          <w:rtl w:val="0"/>
        </w:rPr>
        <w:tab/>
        <w:t xml:space="preserve">The information required in 2.1 above shall be reported and provided in a form or manner acceptable to the Designated Agent using the SFTP.  An insurer must register with the Designated Agent and complete the required registration found at: https://</w:t>
      </w:r>
      <w:r w:rsidDel="00000000" w:rsidR="00000000" w:rsidRPr="00000000">
        <w:rPr>
          <w:color w:val="ff0000"/>
          <w:rtl w:val="0"/>
        </w:rPr>
        <w:t xml:space="preserve">apps</w:t>
      </w:r>
      <w:r w:rsidDel="00000000" w:rsidR="00000000" w:rsidRPr="00000000">
        <w:rPr>
          <w:strike w:val="1"/>
          <w:color w:val="ff0000"/>
          <w:rtl w:val="0"/>
        </w:rPr>
        <w:t xml:space="preserve">www</w:t>
      </w:r>
      <w:r w:rsidDel="00000000" w:rsidR="00000000" w:rsidRPr="00000000">
        <w:rPr>
          <w:rtl w:val="0"/>
        </w:rPr>
        <w:t xml:space="preserve">.colorado.gov/driveinsured/registration.html.</w:t>
      </w:r>
    </w:p>
    <w:p w:rsidR="00000000" w:rsidDel="00000000" w:rsidP="00000000" w:rsidRDefault="00000000" w:rsidRPr="00000000" w14:paraId="00000011">
      <w:pPr>
        <w:spacing w:before="240" w:line="240" w:lineRule="auto"/>
        <w:ind w:left="720" w:hanging="720"/>
        <w:rPr/>
      </w:pPr>
      <w:r w:rsidDel="00000000" w:rsidR="00000000" w:rsidRPr="00000000">
        <w:rPr>
          <w:rtl w:val="0"/>
        </w:rPr>
        <w:t xml:space="preserve">2.</w:t>
      </w:r>
      <w:r w:rsidDel="00000000" w:rsidR="00000000" w:rsidRPr="00000000">
        <w:rPr>
          <w:color w:val="ff0000"/>
          <w:rtl w:val="0"/>
        </w:rPr>
        <w:t xml:space="preserve">4</w:t>
      </w:r>
      <w:r w:rsidDel="00000000" w:rsidR="00000000" w:rsidRPr="00000000">
        <w:rPr>
          <w:strike w:val="1"/>
          <w:color w:val="ff0000"/>
          <w:rtl w:val="0"/>
        </w:rPr>
        <w:t xml:space="preserve">3</w:t>
      </w:r>
      <w:r w:rsidDel="00000000" w:rsidR="00000000" w:rsidRPr="00000000">
        <w:rPr>
          <w:rtl w:val="0"/>
        </w:rPr>
        <w:t xml:space="preserve">  </w:t>
        <w:tab/>
        <w:t xml:space="preserve">Error Reporting</w:t>
      </w:r>
    </w:p>
    <w:p w:rsidR="00000000" w:rsidDel="00000000" w:rsidP="00000000" w:rsidRDefault="00000000" w:rsidRPr="00000000" w14:paraId="00000012">
      <w:pPr>
        <w:numPr>
          <w:ilvl w:val="0"/>
          <w:numId w:val="3"/>
        </w:numPr>
        <w:tabs>
          <w:tab w:val="left" w:leader="none" w:pos="2160"/>
          <w:tab w:val="left" w:leader="none" w:pos="630"/>
        </w:tabs>
        <w:spacing w:before="240" w:line="240" w:lineRule="auto"/>
        <w:ind w:left="1260" w:hanging="540"/>
        <w:rPr/>
      </w:pPr>
      <w:r w:rsidDel="00000000" w:rsidR="00000000" w:rsidRPr="00000000">
        <w:rPr>
          <w:rtl w:val="0"/>
        </w:rPr>
        <w:t xml:space="preserve">The Designated Agent will make error reports available to insurers using the SFTP.   </w:t>
      </w:r>
    </w:p>
    <w:p w:rsidR="00000000" w:rsidDel="00000000" w:rsidP="00000000" w:rsidRDefault="00000000" w:rsidRPr="00000000" w14:paraId="00000013">
      <w:pPr>
        <w:numPr>
          <w:ilvl w:val="0"/>
          <w:numId w:val="3"/>
        </w:numPr>
        <w:tabs>
          <w:tab w:val="left" w:leader="none" w:pos="2160"/>
        </w:tabs>
        <w:spacing w:before="240" w:line="240" w:lineRule="auto"/>
        <w:ind w:left="1260" w:hanging="540"/>
        <w:rPr/>
      </w:pPr>
      <w:r w:rsidDel="00000000" w:rsidR="00000000" w:rsidRPr="00000000">
        <w:rPr>
          <w:rtl w:val="0"/>
        </w:rPr>
        <w:t xml:space="preserve">Each insurer shall retrieve error reports and develop an error correction process for Policy information that is rejected and returned.   </w:t>
      </w:r>
    </w:p>
    <w:p w:rsidR="00000000" w:rsidDel="00000000" w:rsidP="00000000" w:rsidRDefault="00000000" w:rsidRPr="00000000" w14:paraId="00000014">
      <w:pPr>
        <w:numPr>
          <w:ilvl w:val="0"/>
          <w:numId w:val="3"/>
        </w:numPr>
        <w:tabs>
          <w:tab w:val="left" w:leader="none" w:pos="2160"/>
        </w:tabs>
        <w:spacing w:before="240" w:line="240" w:lineRule="auto"/>
        <w:ind w:left="1260" w:hanging="540"/>
        <w:rPr/>
      </w:pPr>
      <w:r w:rsidDel="00000000" w:rsidR="00000000" w:rsidRPr="00000000">
        <w:rPr>
          <w:rtl w:val="0"/>
        </w:rPr>
        <w:t xml:space="preserve">Each insurer must correct rejected and returned Policy information and resubmit corrected Policy information using the form or manner required in paragraph 2.</w:t>
      </w:r>
      <w:r w:rsidDel="00000000" w:rsidR="00000000" w:rsidRPr="00000000">
        <w:rPr>
          <w:color w:val="ff0000"/>
          <w:rtl w:val="0"/>
        </w:rPr>
        <w:t xml:space="preserve">3</w:t>
      </w:r>
      <w:r w:rsidDel="00000000" w:rsidR="00000000" w:rsidRPr="00000000">
        <w:rPr>
          <w:strike w:val="1"/>
          <w:color w:val="ff0000"/>
          <w:rtl w:val="0"/>
        </w:rPr>
        <w:t xml:space="preserve">2</w:t>
      </w:r>
      <w:r w:rsidDel="00000000" w:rsidR="00000000" w:rsidRPr="00000000">
        <w:rPr>
          <w:rtl w:val="0"/>
        </w:rPr>
        <w:t xml:space="preserve"> above. Until it is corrected, a rejected Policy may result in the vehicle record being disclosed as uninsured to law enforcement upon request for insurance status.</w:t>
      </w:r>
    </w:p>
    <w:p w:rsidR="00000000" w:rsidDel="00000000" w:rsidP="00000000" w:rsidRDefault="00000000" w:rsidRPr="00000000" w14:paraId="00000015">
      <w:pPr>
        <w:numPr>
          <w:ilvl w:val="0"/>
          <w:numId w:val="3"/>
        </w:numPr>
        <w:tabs>
          <w:tab w:val="left" w:leader="none" w:pos="2160"/>
        </w:tabs>
        <w:spacing w:before="240" w:line="240" w:lineRule="auto"/>
        <w:ind w:left="1260" w:hanging="540"/>
        <w:rPr/>
      </w:pPr>
      <w:r w:rsidDel="00000000" w:rsidR="00000000" w:rsidRPr="00000000">
        <w:rPr>
          <w:rtl w:val="0"/>
        </w:rPr>
        <w:t xml:space="preserve">Each insurer is responsible for any costs incurred in complying with the MIIDB program.</w:t>
      </w:r>
    </w:p>
    <w:p w:rsidR="00000000" w:rsidDel="00000000" w:rsidP="00000000" w:rsidRDefault="00000000" w:rsidRPr="00000000" w14:paraId="00000016">
      <w:pPr>
        <w:numPr>
          <w:ilvl w:val="0"/>
          <w:numId w:val="2"/>
        </w:numPr>
        <w:tabs>
          <w:tab w:val="left" w:leader="none" w:pos="2160"/>
        </w:tabs>
        <w:spacing w:before="240" w:line="240" w:lineRule="auto"/>
        <w:ind w:left="720" w:hanging="720"/>
        <w:rPr>
          <w:b w:val="1"/>
        </w:rPr>
      </w:pPr>
      <w:r w:rsidDel="00000000" w:rsidR="00000000" w:rsidRPr="00000000">
        <w:rPr>
          <w:b w:val="1"/>
          <w:rtl w:val="0"/>
        </w:rPr>
        <w:t xml:space="preserve">Vehicles Exempt From MIIDB Reporting Requirements</w:t>
      </w:r>
    </w:p>
    <w:p w:rsidR="00000000" w:rsidDel="00000000" w:rsidP="00000000" w:rsidRDefault="00000000" w:rsidRPr="00000000" w14:paraId="00000017">
      <w:pPr>
        <w:numPr>
          <w:ilvl w:val="1"/>
          <w:numId w:val="2"/>
        </w:numPr>
        <w:tabs>
          <w:tab w:val="left" w:leader="none" w:pos="2160"/>
        </w:tabs>
        <w:spacing w:before="240" w:line="240" w:lineRule="auto"/>
        <w:ind w:left="720" w:hanging="720"/>
        <w:rPr/>
      </w:pPr>
      <w:r w:rsidDel="00000000" w:rsidR="00000000" w:rsidRPr="00000000">
        <w:rPr>
          <w:rtl w:val="0"/>
        </w:rPr>
        <w:t xml:space="preserve">The following motor vehicles are exempt from MIIDB reporting requirements</w:t>
      </w:r>
      <w:r w:rsidDel="00000000" w:rsidR="00000000" w:rsidRPr="00000000">
        <w:rPr>
          <w:color w:val="ff0000"/>
          <w:rtl w:val="0"/>
        </w:rPr>
        <w:t xml:space="preserve">:</w:t>
      </w:r>
      <w:r w:rsidDel="00000000" w:rsidR="00000000" w:rsidRPr="00000000">
        <w:rPr>
          <w:strike w:val="1"/>
          <w:color w:val="ff0000"/>
          <w:rtl w:val="0"/>
        </w:rPr>
        <w:t xml:space="preserve">.</w:t>
      </w:r>
      <w:r w:rsidDel="00000000" w:rsidR="00000000" w:rsidRPr="00000000">
        <w:rPr>
          <w:rtl w:val="0"/>
        </w:rPr>
      </w:r>
    </w:p>
    <w:p w:rsidR="00000000" w:rsidDel="00000000" w:rsidP="00000000" w:rsidRDefault="00000000" w:rsidRPr="00000000" w14:paraId="00000018">
      <w:pPr>
        <w:numPr>
          <w:ilvl w:val="0"/>
          <w:numId w:val="1"/>
        </w:numPr>
        <w:tabs>
          <w:tab w:val="left" w:leader="none" w:pos="2160"/>
        </w:tabs>
        <w:spacing w:before="240" w:line="240" w:lineRule="auto"/>
        <w:ind w:left="1260" w:hanging="540"/>
        <w:rPr/>
      </w:pPr>
      <w:r w:rsidDel="00000000" w:rsidR="00000000" w:rsidRPr="00000000">
        <w:rPr>
          <w:rtl w:val="0"/>
        </w:rPr>
        <w:t xml:space="preserve">A motor vehicle that is a commercial motor vehicle defined in 42-1-102(17.5), C.R.S.</w:t>
      </w:r>
    </w:p>
    <w:p w:rsidR="00000000" w:rsidDel="00000000" w:rsidP="00000000" w:rsidRDefault="00000000" w:rsidRPr="00000000" w14:paraId="00000019">
      <w:pPr>
        <w:numPr>
          <w:ilvl w:val="0"/>
          <w:numId w:val="1"/>
        </w:numPr>
        <w:tabs>
          <w:tab w:val="left" w:leader="none" w:pos="2160"/>
        </w:tabs>
        <w:spacing w:before="240" w:line="240" w:lineRule="auto"/>
        <w:ind w:left="1260" w:hanging="540"/>
        <w:rPr/>
      </w:pPr>
      <w:r w:rsidDel="00000000" w:rsidR="00000000" w:rsidRPr="00000000">
        <w:rPr>
          <w:rtl w:val="0"/>
        </w:rPr>
        <w:t xml:space="preserve">A motor vehicle designed as a special use truck pursuant to 42-3-306(9), C.R.S., and Rule 33, 1 CCR 204-10.</w:t>
      </w:r>
    </w:p>
    <w:p w:rsidR="00000000" w:rsidDel="00000000" w:rsidP="00000000" w:rsidRDefault="00000000" w:rsidRPr="00000000" w14:paraId="0000001A">
      <w:pPr>
        <w:numPr>
          <w:ilvl w:val="0"/>
          <w:numId w:val="1"/>
        </w:numPr>
        <w:tabs>
          <w:tab w:val="left" w:leader="none" w:pos="2160"/>
        </w:tabs>
        <w:spacing w:before="240" w:line="240" w:lineRule="auto"/>
        <w:ind w:left="1260" w:hanging="540"/>
        <w:rPr/>
      </w:pPr>
      <w:r w:rsidDel="00000000" w:rsidR="00000000" w:rsidRPr="00000000">
        <w:rPr>
          <w:rtl w:val="0"/>
        </w:rPr>
        <w:t xml:space="preserve">A motor vehicle registered in the commercial fleet program pursuant to 42-3-107(27), C.R.S., and Rule 5, 1 CCR 204-10. </w:t>
      </w:r>
    </w:p>
    <w:p w:rsidR="00000000" w:rsidDel="00000000" w:rsidP="00000000" w:rsidRDefault="00000000" w:rsidRPr="00000000" w14:paraId="0000001B">
      <w:pPr>
        <w:numPr>
          <w:ilvl w:val="0"/>
          <w:numId w:val="1"/>
        </w:numPr>
        <w:tabs>
          <w:tab w:val="left" w:leader="none" w:pos="2160"/>
        </w:tabs>
        <w:spacing w:before="240" w:line="240" w:lineRule="auto"/>
        <w:ind w:left="1260" w:hanging="540"/>
        <w:rPr/>
      </w:pPr>
      <w:r w:rsidDel="00000000" w:rsidR="00000000" w:rsidRPr="00000000">
        <w:rPr>
          <w:rtl w:val="0"/>
        </w:rPr>
        <w:t xml:space="preserve">A motor vehicle registered in a rental program pursuant to 42-3-107(11), 42-3-107(12), and 42-3-107(16), C.R.S., and Rule 30, 1 CCR 204-10.</w:t>
      </w:r>
    </w:p>
    <w:p w:rsidR="00000000" w:rsidDel="00000000" w:rsidP="00000000" w:rsidRDefault="00000000" w:rsidRPr="00000000" w14:paraId="0000001C">
      <w:pPr>
        <w:numPr>
          <w:ilvl w:val="0"/>
          <w:numId w:val="1"/>
        </w:numPr>
        <w:tabs>
          <w:tab w:val="left" w:leader="none" w:pos="2160"/>
        </w:tabs>
        <w:spacing w:before="240" w:line="240" w:lineRule="auto"/>
        <w:ind w:left="1260" w:hanging="540"/>
        <w:rPr/>
      </w:pPr>
      <w:r w:rsidDel="00000000" w:rsidR="00000000" w:rsidRPr="00000000">
        <w:rPr>
          <w:rtl w:val="0"/>
        </w:rPr>
        <w:t xml:space="preserve">A motor vehicle owned by the State of Colorado or any agency or institution there of or by a town, city, county, or city and county pursuant to 42-3-104(4), C.R.S., and Rule 28, 1 CCR 204-10.</w:t>
      </w:r>
    </w:p>
    <w:p w:rsidR="00000000" w:rsidDel="00000000" w:rsidP="00000000" w:rsidRDefault="00000000" w:rsidRPr="00000000" w14:paraId="0000001D">
      <w:pPr>
        <w:numPr>
          <w:ilvl w:val="0"/>
          <w:numId w:val="1"/>
        </w:numPr>
        <w:tabs>
          <w:tab w:val="left" w:leader="none" w:pos="2160"/>
        </w:tabs>
        <w:spacing w:before="240" w:line="240" w:lineRule="auto"/>
        <w:ind w:left="1260" w:hanging="540"/>
        <w:rPr/>
      </w:pPr>
      <w:r w:rsidDel="00000000" w:rsidR="00000000" w:rsidRPr="00000000">
        <w:rPr>
          <w:rtl w:val="0"/>
        </w:rPr>
        <w:t xml:space="preserve">A motor vehicle registered with a gross vehicle weight rating pursuant to 42-1-102(23.5) and 42-3-306(5)(b), C.R.S., and Rule 4, 1 CCR 204-10.</w:t>
      </w:r>
    </w:p>
    <w:p w:rsidR="00000000" w:rsidDel="00000000" w:rsidP="00000000" w:rsidRDefault="00000000" w:rsidRPr="00000000" w14:paraId="0000001E">
      <w:pPr>
        <w:numPr>
          <w:ilvl w:val="0"/>
          <w:numId w:val="1"/>
        </w:numPr>
        <w:tabs>
          <w:tab w:val="left" w:leader="none" w:pos="2160"/>
        </w:tabs>
        <w:spacing w:before="240" w:line="240" w:lineRule="auto"/>
        <w:ind w:left="1260" w:hanging="540"/>
        <w:rPr/>
      </w:pPr>
      <w:r w:rsidDel="00000000" w:rsidR="00000000" w:rsidRPr="00000000">
        <w:rPr>
          <w:rtl w:val="0"/>
        </w:rPr>
        <w:t xml:space="preserve">A motor vehicle registered as a farm vehicle pursuant to 42-3-306(4), C.R.S.</w:t>
      </w:r>
    </w:p>
    <w:p w:rsidR="00000000" w:rsidDel="00000000" w:rsidP="00000000" w:rsidRDefault="00000000" w:rsidRPr="00000000" w14:paraId="0000001F">
      <w:pPr>
        <w:numPr>
          <w:ilvl w:val="0"/>
          <w:numId w:val="1"/>
        </w:numPr>
        <w:tabs>
          <w:tab w:val="left" w:leader="none" w:pos="2160"/>
        </w:tabs>
        <w:spacing w:before="240" w:line="240" w:lineRule="auto"/>
        <w:ind w:left="1260" w:hanging="540"/>
        <w:rPr/>
      </w:pPr>
      <w:r w:rsidDel="00000000" w:rsidR="00000000" w:rsidRPr="00000000">
        <w:rPr>
          <w:rtl w:val="0"/>
        </w:rPr>
        <w:t xml:space="preserve">A bus registered pursuant to 42-1-102(88) and 42-3-306(2)(c), C.R.S.</w:t>
      </w:r>
    </w:p>
    <w:p w:rsidR="00000000" w:rsidDel="00000000" w:rsidP="00000000" w:rsidRDefault="00000000" w:rsidRPr="00000000" w14:paraId="00000020">
      <w:pPr>
        <w:numPr>
          <w:ilvl w:val="0"/>
          <w:numId w:val="1"/>
        </w:numPr>
        <w:tabs>
          <w:tab w:val="left" w:leader="none" w:pos="2160"/>
        </w:tabs>
        <w:spacing w:before="240" w:line="240" w:lineRule="auto"/>
        <w:ind w:left="1260" w:hanging="540"/>
        <w:rPr/>
      </w:pPr>
      <w:r w:rsidDel="00000000" w:rsidR="00000000" w:rsidRPr="00000000">
        <w:rPr>
          <w:rtl w:val="0"/>
        </w:rPr>
        <w:t xml:space="preserve">A motor vehicle registered with a Commercial Call Letter license plate pursuant to 42-3-210, C.R.S.</w:t>
      </w:r>
    </w:p>
    <w:p w:rsidR="00000000" w:rsidDel="00000000" w:rsidP="00000000" w:rsidRDefault="00000000" w:rsidRPr="00000000" w14:paraId="00000021">
      <w:pPr>
        <w:numPr>
          <w:ilvl w:val="0"/>
          <w:numId w:val="1"/>
        </w:numPr>
        <w:tabs>
          <w:tab w:val="left" w:leader="none" w:pos="2160"/>
        </w:tabs>
        <w:spacing w:before="240" w:line="240" w:lineRule="auto"/>
        <w:ind w:left="1260" w:hanging="540"/>
        <w:rPr/>
      </w:pPr>
      <w:r w:rsidDel="00000000" w:rsidR="00000000" w:rsidRPr="00000000">
        <w:rPr>
          <w:rtl w:val="0"/>
        </w:rPr>
        <w:t xml:space="preserve">A vehicle that does not meet the definition of a motor vehicle under 10-4-601(6) and 42-1-102(580, C.R.S. This includes Trailers defined in 42-1-102(14), 42-1-102(60.3), 42-1-102(105), 42-1-105(106), and 42-1-102(111), C.R.S., and Special Mobile Machinery defined in 42-1-102(93.5), C.R.S.</w:t>
      </w:r>
    </w:p>
    <w:p w:rsidR="00000000" w:rsidDel="00000000" w:rsidP="00000000" w:rsidRDefault="00000000" w:rsidRPr="00000000" w14:paraId="00000022">
      <w:pPr>
        <w:numPr>
          <w:ilvl w:val="1"/>
          <w:numId w:val="2"/>
        </w:numPr>
        <w:tabs>
          <w:tab w:val="left" w:leader="none" w:pos="2160"/>
        </w:tabs>
        <w:spacing w:before="240" w:line="240" w:lineRule="auto"/>
        <w:ind w:left="720" w:hanging="720"/>
        <w:rPr/>
      </w:pPr>
      <w:r w:rsidDel="00000000" w:rsidR="00000000" w:rsidRPr="00000000">
        <w:rPr>
          <w:rtl w:val="0"/>
        </w:rPr>
        <w:t xml:space="preserve">The following registration records with license plates that are registered to a person and not a motor vehicle are exempt from MIIDB reporting requirements:</w:t>
      </w:r>
    </w:p>
    <w:p w:rsidR="00000000" w:rsidDel="00000000" w:rsidP="00000000" w:rsidRDefault="00000000" w:rsidRPr="00000000" w14:paraId="00000023">
      <w:pPr>
        <w:numPr>
          <w:ilvl w:val="0"/>
          <w:numId w:val="4"/>
        </w:numPr>
        <w:tabs>
          <w:tab w:val="left" w:leader="none" w:pos="2160"/>
        </w:tabs>
        <w:spacing w:before="240" w:line="240" w:lineRule="auto"/>
        <w:ind w:left="1260" w:hanging="360"/>
        <w:rPr/>
      </w:pPr>
      <w:r w:rsidDel="00000000" w:rsidR="00000000" w:rsidRPr="00000000">
        <w:rPr>
          <w:rtl w:val="0"/>
        </w:rPr>
        <w:t xml:space="preserve">Dealer Demonstration, Dealer Full-Use, Dealer In-Transit, and SMM Dealer Demonstration license plates issued pursuant to 42-3-116, C.R.S., and Rule 48, 1 CCR 204-10.</w:t>
      </w:r>
    </w:p>
    <w:p w:rsidR="00000000" w:rsidDel="00000000" w:rsidP="00000000" w:rsidRDefault="00000000" w:rsidRPr="00000000" w14:paraId="00000024">
      <w:pPr>
        <w:numPr>
          <w:ilvl w:val="0"/>
          <w:numId w:val="4"/>
        </w:numPr>
        <w:tabs>
          <w:tab w:val="left" w:leader="none" w:pos="1440"/>
          <w:tab w:val="left" w:leader="none" w:pos="2160"/>
        </w:tabs>
        <w:spacing w:before="240" w:line="240" w:lineRule="auto"/>
        <w:ind w:left="1260" w:hanging="360"/>
        <w:rPr/>
      </w:pPr>
      <w:r w:rsidDel="00000000" w:rsidR="00000000" w:rsidRPr="00000000">
        <w:rPr>
          <w:rtl w:val="0"/>
        </w:rPr>
        <w:t xml:space="preserve">Depot license plates issued pursuant to 42-3-116, C.R.S., and Rule 9, 1 CCR 204-10.</w:t>
      </w:r>
    </w:p>
    <w:p w:rsidR="00000000" w:rsidDel="00000000" w:rsidP="00000000" w:rsidRDefault="00000000" w:rsidRPr="00000000" w14:paraId="00000025">
      <w:pPr>
        <w:numPr>
          <w:ilvl w:val="0"/>
          <w:numId w:val="4"/>
        </w:numPr>
        <w:tabs>
          <w:tab w:val="left" w:leader="none" w:pos="1440"/>
          <w:tab w:val="left" w:leader="none" w:pos="2160"/>
        </w:tabs>
        <w:spacing w:before="240" w:line="240" w:lineRule="auto"/>
        <w:ind w:left="1260" w:hanging="360"/>
        <w:rPr/>
      </w:pPr>
      <w:r w:rsidDel="00000000" w:rsidR="00000000" w:rsidRPr="00000000">
        <w:rPr>
          <w:rtl w:val="0"/>
        </w:rPr>
        <w:t xml:space="preserve">Manufacturer license plates issued pursuant to 42-3-116, C.R.S.</w:t>
      </w:r>
    </w:p>
    <w:p w:rsidR="00000000" w:rsidDel="00000000" w:rsidP="00000000" w:rsidRDefault="00000000" w:rsidRPr="00000000" w14:paraId="00000026">
      <w:pPr>
        <w:numPr>
          <w:ilvl w:val="0"/>
          <w:numId w:val="4"/>
        </w:numPr>
        <w:tabs>
          <w:tab w:val="left" w:leader="none" w:pos="1440"/>
          <w:tab w:val="left" w:leader="none" w:pos="2160"/>
        </w:tabs>
        <w:spacing w:before="240" w:line="240" w:lineRule="auto"/>
        <w:ind w:left="1260" w:hanging="360"/>
        <w:rPr/>
      </w:pPr>
      <w:bookmarkStart w:colFirst="0" w:colLast="0" w:name="_heading=h.gjdgxs" w:id="0"/>
      <w:bookmarkEnd w:id="0"/>
      <w:r w:rsidDel="00000000" w:rsidR="00000000" w:rsidRPr="00000000">
        <w:rPr>
          <w:rtl w:val="0"/>
        </w:rPr>
        <w:t xml:space="preserve">Transporter license plates issued pursuant to 42-3-116, C.R.S., and Rule 35, 1 CCR 204-10.</w:t>
      </w:r>
    </w:p>
    <w:p w:rsidR="00000000" w:rsidDel="00000000" w:rsidP="00000000" w:rsidRDefault="00000000" w:rsidRPr="00000000" w14:paraId="00000027">
      <w:pPr>
        <w:ind w:firstLine="90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900" w:hanging="360"/>
      </w:pPr>
      <w:rPr>
        <w:color w:val="000000"/>
      </w:rPr>
    </w:lvl>
    <w:lvl w:ilvl="1">
      <w:start w:val="1"/>
      <w:numFmt w:val="lowerLetter"/>
      <w:lvlText w:val="%2."/>
      <w:lvlJc w:val="left"/>
      <w:pPr>
        <w:ind w:left="1620" w:hanging="360"/>
      </w:pPr>
      <w:rPr/>
    </w:lvl>
    <w:lvl w:ilvl="2">
      <w:start w:val="1"/>
      <w:numFmt w:val="lowerRoman"/>
      <w:lvlText w:val="%3."/>
      <w:lvlJc w:val="right"/>
      <w:pPr>
        <w:ind w:left="2340" w:hanging="180"/>
      </w:pPr>
      <w:rPr/>
    </w:lvl>
    <w:lvl w:ilvl="3">
      <w:start w:val="1"/>
      <w:numFmt w:val="decimal"/>
      <w:lvlText w:val="%4."/>
      <w:lvlJc w:val="left"/>
      <w:pPr>
        <w:ind w:left="3060" w:hanging="360"/>
      </w:pPr>
      <w:rPr/>
    </w:lvl>
    <w:lvl w:ilvl="4">
      <w:start w:val="1"/>
      <w:numFmt w:val="lowerLetter"/>
      <w:lvlText w:val="%5."/>
      <w:lvlJc w:val="left"/>
      <w:pPr>
        <w:ind w:left="3780" w:hanging="360"/>
      </w:pPr>
      <w:rPr/>
    </w:lvl>
    <w:lvl w:ilvl="5">
      <w:start w:val="1"/>
      <w:numFmt w:val="lowerRoman"/>
      <w:lvlText w:val="%6."/>
      <w:lvlJc w:val="right"/>
      <w:pPr>
        <w:ind w:left="4500" w:hanging="180"/>
      </w:pPr>
      <w:rPr/>
    </w:lvl>
    <w:lvl w:ilvl="6">
      <w:start w:val="1"/>
      <w:numFmt w:val="decimal"/>
      <w:lvlText w:val="%7."/>
      <w:lvlJc w:val="left"/>
      <w:pPr>
        <w:ind w:left="5220" w:hanging="360"/>
      </w:pPr>
      <w:rPr/>
    </w:lvl>
    <w:lvl w:ilvl="7">
      <w:start w:val="1"/>
      <w:numFmt w:val="lowerLetter"/>
      <w:lvlText w:val="%8."/>
      <w:lvlJc w:val="left"/>
      <w:pPr>
        <w:ind w:left="5940" w:hanging="360"/>
      </w:pPr>
      <w:rPr/>
    </w:lvl>
    <w:lvl w:ilvl="8">
      <w:start w:val="1"/>
      <w:numFmt w:val="lowerRoman"/>
      <w:lvlText w:val="%9."/>
      <w:lvlJc w:val="right"/>
      <w:pPr>
        <w:ind w:left="6660" w:hanging="180"/>
      </w:pPr>
      <w:rPr/>
    </w:lvl>
  </w:abstractNum>
  <w:abstractNum w:abstractNumId="2">
    <w:lvl w:ilvl="0">
      <w:start w:val="3"/>
      <w:numFmt w:val="decimal"/>
      <w:lvlText w:val="%1.0"/>
      <w:lvlJc w:val="left"/>
      <w:pPr>
        <w:ind w:left="360" w:hanging="360"/>
      </w:pPr>
      <w:rPr/>
    </w:lvl>
    <w:lvl w:ilvl="1">
      <w:start w:val="1"/>
      <w:numFmt w:val="decimal"/>
      <w:lvlText w:val="%1.%2"/>
      <w:lvlJc w:val="left"/>
      <w:pPr>
        <w:ind w:left="720" w:hanging="540"/>
      </w:pPr>
      <w:rPr>
        <w:color w:val="000000"/>
      </w:rPr>
    </w:lvl>
    <w:lvl w:ilvl="2">
      <w:start w:val="1"/>
      <w:numFmt w:val="decimal"/>
      <w:lvlText w:val="%1.%2.%3"/>
      <w:lvlJc w:val="left"/>
      <w:pPr>
        <w:ind w:left="2160" w:hanging="720"/>
      </w:pPr>
      <w:rPr/>
    </w:lvl>
    <w:lvl w:ilvl="3">
      <w:start w:val="1"/>
      <w:numFmt w:val="decimal"/>
      <w:lvlText w:val="%1.%2.%3.%4"/>
      <w:lvlJc w:val="left"/>
      <w:pPr>
        <w:ind w:left="3240" w:hanging="1080"/>
      </w:pPr>
      <w:rPr/>
    </w:lvl>
    <w:lvl w:ilvl="4">
      <w:start w:val="1"/>
      <w:numFmt w:val="decimal"/>
      <w:lvlText w:val="%1.%2.%3.%4.%5"/>
      <w:lvlJc w:val="left"/>
      <w:pPr>
        <w:ind w:left="3960" w:hanging="1080"/>
      </w:pPr>
      <w:rPr/>
    </w:lvl>
    <w:lvl w:ilvl="5">
      <w:start w:val="1"/>
      <w:numFmt w:val="decimal"/>
      <w:lvlText w:val="%1.%2.%3.%4.%5.%6"/>
      <w:lvlJc w:val="left"/>
      <w:pPr>
        <w:ind w:left="5040" w:hanging="1440"/>
      </w:pPr>
      <w:rPr/>
    </w:lvl>
    <w:lvl w:ilvl="6">
      <w:start w:val="1"/>
      <w:numFmt w:val="decimal"/>
      <w:lvlText w:val="%1.%2.%3.%4.%5.%6.%7"/>
      <w:lvlJc w:val="left"/>
      <w:pPr>
        <w:ind w:left="5760" w:hanging="1440"/>
      </w:pPr>
      <w:rPr/>
    </w:lvl>
    <w:lvl w:ilvl="7">
      <w:start w:val="1"/>
      <w:numFmt w:val="decimal"/>
      <w:lvlText w:val="%1.%2.%3.%4.%5.%6.%7.%8"/>
      <w:lvlJc w:val="left"/>
      <w:pPr>
        <w:ind w:left="6840" w:hanging="1800"/>
      </w:pPr>
      <w:rPr/>
    </w:lvl>
    <w:lvl w:ilvl="8">
      <w:start w:val="1"/>
      <w:numFmt w:val="decimal"/>
      <w:lvlText w:val="%1.%2.%3.%4.%5.%6.%7.%8.%9"/>
      <w:lvlJc w:val="left"/>
      <w:pPr>
        <w:ind w:left="7560" w:hanging="1800"/>
      </w:pPr>
      <w:rPr/>
    </w:lvl>
  </w:abstractNum>
  <w:abstractNum w:abstractNumId="3">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lowerLetter"/>
      <w:lvlText w:val="%1."/>
      <w:lvlJc w:val="right"/>
      <w:pPr>
        <w:ind w:left="1260" w:hanging="540"/>
      </w:pPr>
      <w:rPr>
        <w:rFonts w:ascii="Arial" w:cs="Arial" w:eastAsia="Arial" w:hAnsi="Arial"/>
        <w:color w:val="000000"/>
      </w:rPr>
    </w:lvl>
    <w:lvl w:ilvl="1">
      <w:start w:val="1"/>
      <w:numFmt w:val="lowerLetter"/>
      <w:lvlText w:val="%2."/>
      <w:lvlJc w:val="left"/>
      <w:pPr>
        <w:ind w:left="2250" w:hanging="360"/>
      </w:pPr>
      <w:rPr/>
    </w:lvl>
    <w:lvl w:ilvl="2">
      <w:start w:val="1"/>
      <w:numFmt w:val="lowerRoman"/>
      <w:lvlText w:val="%3."/>
      <w:lvlJc w:val="right"/>
      <w:pPr>
        <w:ind w:left="2970" w:hanging="180"/>
      </w:pPr>
      <w:rPr/>
    </w:lvl>
    <w:lvl w:ilvl="3">
      <w:start w:val="1"/>
      <w:numFmt w:val="decimal"/>
      <w:lvlText w:val="%4."/>
      <w:lvlJc w:val="left"/>
      <w:pPr>
        <w:ind w:left="3690" w:hanging="360"/>
      </w:pPr>
      <w:rPr/>
    </w:lvl>
    <w:lvl w:ilvl="4">
      <w:start w:val="1"/>
      <w:numFmt w:val="lowerLetter"/>
      <w:lvlText w:val="%5."/>
      <w:lvlJc w:val="left"/>
      <w:pPr>
        <w:ind w:left="4410" w:hanging="360"/>
      </w:pPr>
      <w:rPr/>
    </w:lvl>
    <w:lvl w:ilvl="5">
      <w:start w:val="1"/>
      <w:numFmt w:val="lowerRoman"/>
      <w:lvlText w:val="%6."/>
      <w:lvlJc w:val="right"/>
      <w:pPr>
        <w:ind w:left="5130" w:hanging="180"/>
      </w:pPr>
      <w:rPr/>
    </w:lvl>
    <w:lvl w:ilvl="6">
      <w:start w:val="1"/>
      <w:numFmt w:val="decimal"/>
      <w:lvlText w:val="%7."/>
      <w:lvlJc w:val="left"/>
      <w:pPr>
        <w:ind w:left="5850" w:hanging="360"/>
      </w:pPr>
      <w:rPr/>
    </w:lvl>
    <w:lvl w:ilvl="7">
      <w:start w:val="1"/>
      <w:numFmt w:val="lowerLetter"/>
      <w:lvlText w:val="%8."/>
      <w:lvlJc w:val="left"/>
      <w:pPr>
        <w:ind w:left="6570" w:hanging="360"/>
      </w:pPr>
      <w:rPr/>
    </w:lvl>
    <w:lvl w:ilvl="8">
      <w:start w:val="1"/>
      <w:numFmt w:val="lowerRoman"/>
      <w:lvlText w:val="%9."/>
      <w:lvlJc w:val="right"/>
      <w:pPr>
        <w:ind w:left="7290" w:hanging="180"/>
      </w:pPr>
      <w:rPr/>
    </w:lvl>
  </w:abstractNum>
  <w:abstractNum w:abstractNumId="5">
    <w:lvl w:ilvl="0">
      <w:start w:val="1"/>
      <w:numFmt w:val="decimal"/>
      <w:lvlText w:val="%1.0"/>
      <w:lvlJc w:val="left"/>
      <w:pPr>
        <w:ind w:left="465" w:hanging="465"/>
      </w:pPr>
      <w:rPr>
        <w:b w:val="1"/>
      </w:rPr>
    </w:lvl>
    <w:lvl w:ilvl="1">
      <w:start w:val="1"/>
      <w:numFmt w:val="decimal"/>
      <w:lvlText w:val="%1.%2"/>
      <w:lvlJc w:val="left"/>
      <w:pPr>
        <w:ind w:left="1725" w:hanging="465"/>
      </w:pPr>
      <w:rPr>
        <w:b w:val="0"/>
        <w:strike w:val="1"/>
        <w:color w:val="ff0000"/>
      </w:rPr>
    </w:lvl>
    <w:lvl w:ilvl="2">
      <w:start w:val="1"/>
      <w:numFmt w:val="decimal"/>
      <w:lvlText w:val="%1.%2.%3"/>
      <w:lvlJc w:val="left"/>
      <w:pPr>
        <w:ind w:left="2160" w:hanging="720"/>
      </w:pPr>
      <w:rPr>
        <w:b w:val="1"/>
      </w:rPr>
    </w:lvl>
    <w:lvl w:ilvl="3">
      <w:start w:val="1"/>
      <w:numFmt w:val="decimal"/>
      <w:lvlText w:val="%1.%2.%3.%4"/>
      <w:lvlJc w:val="left"/>
      <w:pPr>
        <w:ind w:left="3240" w:hanging="1080"/>
      </w:pPr>
      <w:rPr>
        <w:b w:val="1"/>
      </w:rPr>
    </w:lvl>
    <w:lvl w:ilvl="4">
      <w:start w:val="1"/>
      <w:numFmt w:val="decimal"/>
      <w:lvlText w:val="%1.%2.%3.%4.%5"/>
      <w:lvlJc w:val="left"/>
      <w:pPr>
        <w:ind w:left="3960" w:hanging="1080"/>
      </w:pPr>
      <w:rPr>
        <w:b w:val="1"/>
      </w:rPr>
    </w:lvl>
    <w:lvl w:ilvl="5">
      <w:start w:val="1"/>
      <w:numFmt w:val="decimal"/>
      <w:lvlText w:val="%1.%2.%3.%4.%5.%6"/>
      <w:lvlJc w:val="left"/>
      <w:pPr>
        <w:ind w:left="5040" w:hanging="1440"/>
      </w:pPr>
      <w:rPr>
        <w:b w:val="1"/>
      </w:rPr>
    </w:lvl>
    <w:lvl w:ilvl="6">
      <w:start w:val="1"/>
      <w:numFmt w:val="decimal"/>
      <w:lvlText w:val="%1.%2.%3.%4.%5.%6.%7"/>
      <w:lvlJc w:val="left"/>
      <w:pPr>
        <w:ind w:left="5760" w:hanging="1440"/>
      </w:pPr>
      <w:rPr>
        <w:b w:val="1"/>
      </w:rPr>
    </w:lvl>
    <w:lvl w:ilvl="7">
      <w:start w:val="1"/>
      <w:numFmt w:val="decimal"/>
      <w:lvlText w:val="%1.%2.%3.%4.%5.%6.%7.%8"/>
      <w:lvlJc w:val="left"/>
      <w:pPr>
        <w:ind w:left="6840" w:hanging="1800"/>
      </w:pPr>
      <w:rPr>
        <w:b w:val="1"/>
      </w:rPr>
    </w:lvl>
    <w:lvl w:ilvl="8">
      <w:start w:val="1"/>
      <w:numFmt w:val="decimal"/>
      <w:lvlText w:val="%1.%2.%3.%4.%5.%6.%7.%8.%9"/>
      <w:lvlJc w:val="left"/>
      <w:pPr>
        <w:ind w:left="7560" w:hanging="1800"/>
      </w:pPr>
      <w:rPr>
        <w:b w:val="1"/>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nMzBYvSDd3dXcCIaN4gZ5tv3xyA==">CgMxLjAyCGguZ2pkZ3hzOAByITFFSkxEMGRnb3pibWJzbE5KaXZHaWctcUFzam81QkUwRQ==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